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7752" w14:textId="2CD4D791" w:rsidR="0068763A" w:rsidRDefault="00BA57FB" w:rsidP="0034746D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Smlouva o</w:t>
      </w:r>
      <w:r w:rsidR="0043686A" w:rsidRPr="0043686A">
        <w:rPr>
          <w:b/>
          <w:sz w:val="32"/>
          <w:szCs w:val="32"/>
        </w:rPr>
        <w:t xml:space="preserve"> </w:t>
      </w:r>
      <w:r w:rsidR="00AB7F83">
        <w:rPr>
          <w:b/>
          <w:sz w:val="32"/>
          <w:szCs w:val="32"/>
        </w:rPr>
        <w:t>na</w:t>
      </w:r>
      <w:r w:rsidR="0063767B">
        <w:rPr>
          <w:b/>
          <w:sz w:val="32"/>
          <w:szCs w:val="32"/>
        </w:rPr>
        <w:t xml:space="preserve">hlížení do CEE prostřednictvím </w:t>
      </w:r>
      <w:proofErr w:type="spellStart"/>
      <w:r w:rsidR="0063767B">
        <w:rPr>
          <w:b/>
          <w:sz w:val="32"/>
          <w:szCs w:val="32"/>
        </w:rPr>
        <w:t>M</w:t>
      </w:r>
      <w:r w:rsidR="00AB7F83">
        <w:rPr>
          <w:b/>
          <w:sz w:val="32"/>
          <w:szCs w:val="32"/>
        </w:rPr>
        <w:t>ultiúčtu</w:t>
      </w:r>
      <w:proofErr w:type="spellEnd"/>
      <w:r w:rsidR="00175DC5">
        <w:rPr>
          <w:b/>
          <w:sz w:val="32"/>
          <w:szCs w:val="32"/>
        </w:rPr>
        <w:t xml:space="preserve"> SČMBD</w:t>
      </w:r>
    </w:p>
    <w:bookmarkEnd w:id="0"/>
    <w:p w14:paraId="35965AE2" w14:textId="77777777" w:rsidR="00BA57FB" w:rsidRDefault="002143EC" w:rsidP="0034746D">
      <w:pPr>
        <w:spacing w:after="0"/>
        <w:jc w:val="center"/>
      </w:pPr>
      <w:r>
        <w:t xml:space="preserve">uzavřená </w:t>
      </w:r>
      <w:r w:rsidR="00BA57FB" w:rsidRPr="00B626E8">
        <w:t>níže uvedeného dne, měsíce a roku mezi</w:t>
      </w:r>
      <w:r w:rsidR="00FA2703" w:rsidRPr="00B626E8">
        <w:t xml:space="preserve"> smluvními stranami</w:t>
      </w:r>
      <w:r w:rsidR="00BA57FB" w:rsidRPr="00B626E8">
        <w:t>:</w:t>
      </w:r>
    </w:p>
    <w:p w14:paraId="64295EA0" w14:textId="77777777" w:rsidR="0034746D" w:rsidRPr="00B626E8" w:rsidRDefault="0034746D" w:rsidP="0034746D">
      <w:pPr>
        <w:spacing w:after="0"/>
        <w:jc w:val="center"/>
      </w:pPr>
    </w:p>
    <w:p w14:paraId="222007C1" w14:textId="77777777" w:rsidR="00CA3C12" w:rsidRDefault="00BA57FB" w:rsidP="00C46420">
      <w:pPr>
        <w:pStyle w:val="Odstavecseseznamem"/>
        <w:numPr>
          <w:ilvl w:val="0"/>
          <w:numId w:val="9"/>
        </w:numPr>
        <w:spacing w:after="0" w:line="240" w:lineRule="auto"/>
      </w:pPr>
      <w:r w:rsidRPr="00BA57FB">
        <w:t>Svaz českých a moravských bytových družstev,</w:t>
      </w:r>
      <w:r w:rsidR="00C71600">
        <w:t xml:space="preserve"> se </w:t>
      </w:r>
      <w:r w:rsidR="00C5661F">
        <w:t xml:space="preserve">sídlem </w:t>
      </w:r>
      <w:r w:rsidR="00C5661F" w:rsidRPr="00BA57FB">
        <w:t>Podolská</w:t>
      </w:r>
      <w:r w:rsidRPr="00BA57FB">
        <w:t xml:space="preserve"> 50, </w:t>
      </w:r>
      <w:r w:rsidR="00784BF9" w:rsidRPr="00BA57FB">
        <w:t>147 01</w:t>
      </w:r>
      <w:r w:rsidR="00784BF9">
        <w:t xml:space="preserve"> Praha</w:t>
      </w:r>
      <w:r w:rsidRPr="00BA57FB">
        <w:t xml:space="preserve"> 4,</w:t>
      </w:r>
      <w:r w:rsidR="00C71600">
        <w:t xml:space="preserve"> </w:t>
      </w:r>
    </w:p>
    <w:p w14:paraId="41D6329B" w14:textId="77777777" w:rsidR="00BA57FB" w:rsidRPr="00CA3C12" w:rsidRDefault="00BA57FB" w:rsidP="00CA3C12">
      <w:pPr>
        <w:pStyle w:val="Odstavecseseznamem"/>
        <w:spacing w:after="0" w:line="240" w:lineRule="auto"/>
      </w:pPr>
      <w:r>
        <w:t xml:space="preserve">IČ: </w:t>
      </w:r>
      <w:r w:rsidRPr="00BA57FB">
        <w:t>00056553</w:t>
      </w:r>
      <w:r w:rsidR="009307BF">
        <w:t xml:space="preserve"> </w:t>
      </w:r>
      <w:r w:rsidR="000122CA">
        <w:t xml:space="preserve">(dále jen </w:t>
      </w:r>
      <w:r w:rsidR="0043686A">
        <w:rPr>
          <w:i/>
        </w:rPr>
        <w:t xml:space="preserve">„ </w:t>
      </w:r>
      <w:r w:rsidR="00B4033C">
        <w:rPr>
          <w:u w:val="single"/>
        </w:rPr>
        <w:t>SČMBD</w:t>
      </w:r>
      <w:r w:rsidR="00024E94" w:rsidRPr="00024E94">
        <w:rPr>
          <w:i/>
        </w:rPr>
        <w:t>“</w:t>
      </w:r>
      <w:r w:rsidR="00024E94">
        <w:t>)</w:t>
      </w:r>
    </w:p>
    <w:p w14:paraId="516046B0" w14:textId="77777777" w:rsidR="00BA57FB" w:rsidRPr="00C46420" w:rsidRDefault="00BA57FB" w:rsidP="00C46420">
      <w:pPr>
        <w:spacing w:after="0" w:line="240" w:lineRule="auto"/>
        <w:rPr>
          <w:sz w:val="24"/>
          <w:szCs w:val="24"/>
        </w:rPr>
      </w:pPr>
      <w:r w:rsidRPr="00C46420">
        <w:rPr>
          <w:sz w:val="24"/>
          <w:szCs w:val="24"/>
        </w:rPr>
        <w:t>a</w:t>
      </w:r>
    </w:p>
    <w:p w14:paraId="7584BABB" w14:textId="77777777" w:rsidR="00BA57FB" w:rsidRPr="00C46420" w:rsidRDefault="00BA57FB" w:rsidP="00CA3C12">
      <w:pPr>
        <w:pStyle w:val="Odstavecseseznamem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B13111">
        <w:t>………………………………………………………………………………………………………………</w:t>
      </w:r>
      <w:r w:rsidR="000122CA">
        <w:t>………………………….</w:t>
      </w:r>
    </w:p>
    <w:p w14:paraId="7FFC8E3E" w14:textId="77777777" w:rsidR="00D93E75" w:rsidRDefault="00BA57FB" w:rsidP="00D93E75">
      <w:r w:rsidRPr="00B13111">
        <w:t xml:space="preserve"> </w:t>
      </w:r>
      <w:r w:rsidR="00CA3C12">
        <w:t xml:space="preserve">            </w:t>
      </w:r>
      <w:r w:rsidRPr="00B13111">
        <w:t xml:space="preserve"> </w:t>
      </w:r>
      <w:r w:rsidR="0060579E" w:rsidRPr="00B13111">
        <w:t xml:space="preserve">IČ: </w:t>
      </w:r>
      <w:r w:rsidR="00D93E75">
        <w:t>…………………</w:t>
      </w:r>
      <w:r w:rsidRPr="00B13111">
        <w:t>……</w:t>
      </w:r>
      <w:r w:rsidR="00B13111">
        <w:t>,</w:t>
      </w:r>
      <w:r w:rsidR="00D93E75">
        <w:t xml:space="preserve"> DIČ …………………………,</w:t>
      </w:r>
      <w:r w:rsidR="00B13111">
        <w:t xml:space="preserve"> </w:t>
      </w:r>
      <w:r w:rsidR="009307BF">
        <w:t>zastoupeno</w:t>
      </w:r>
      <w:r w:rsidR="00D93E75">
        <w:t xml:space="preserve"> …………………………………………………………,</w:t>
      </w:r>
    </w:p>
    <w:p w14:paraId="16E9D989" w14:textId="77777777" w:rsidR="00D93E75" w:rsidRDefault="00D93E75" w:rsidP="00D93E75">
      <w:pPr>
        <w:rPr>
          <w:b/>
        </w:rPr>
      </w:pPr>
      <w:r>
        <w:t xml:space="preserve">              telefon …………………..., email …………………………………. ID datové schránky ………………………..</w:t>
      </w:r>
    </w:p>
    <w:p w14:paraId="244B1DBC" w14:textId="77777777" w:rsidR="009307BF" w:rsidRPr="009307BF" w:rsidRDefault="00D93E75" w:rsidP="00CA3C12">
      <w:pPr>
        <w:spacing w:line="360" w:lineRule="auto"/>
      </w:pPr>
      <w:r>
        <w:t xml:space="preserve">              </w:t>
      </w:r>
      <w:r w:rsidR="00024E94" w:rsidRPr="00CA3C12">
        <w:t xml:space="preserve">(dále jen </w:t>
      </w:r>
      <w:r w:rsidR="00024E94" w:rsidRPr="00CA3C12">
        <w:rPr>
          <w:i/>
        </w:rPr>
        <w:t>„</w:t>
      </w:r>
      <w:r w:rsidR="000F7815">
        <w:rPr>
          <w:u w:val="single"/>
        </w:rPr>
        <w:t>Člen</w:t>
      </w:r>
      <w:r w:rsidR="00024E94" w:rsidRPr="00CA3C12">
        <w:rPr>
          <w:i/>
        </w:rPr>
        <w:t>“</w:t>
      </w:r>
      <w:r w:rsidR="00024E94" w:rsidRPr="00CA3C12">
        <w:t>)</w:t>
      </w:r>
      <w:r>
        <w:t xml:space="preserve"> </w:t>
      </w:r>
    </w:p>
    <w:p w14:paraId="70C07B47" w14:textId="77777777" w:rsidR="00024E94" w:rsidRPr="00CA3C12" w:rsidRDefault="00E7321C" w:rsidP="000F7815">
      <w:pPr>
        <w:spacing w:after="0"/>
        <w:jc w:val="both"/>
        <w:rPr>
          <w:b/>
        </w:rPr>
      </w:pPr>
      <w:r w:rsidRPr="00CA3C12">
        <w:rPr>
          <w:b/>
        </w:rPr>
        <w:t xml:space="preserve">I. </w:t>
      </w:r>
      <w:r w:rsidR="000F7815">
        <w:rPr>
          <w:b/>
        </w:rPr>
        <w:tab/>
      </w:r>
      <w:r w:rsidRPr="00CA3C12">
        <w:rPr>
          <w:b/>
        </w:rPr>
        <w:t>Základní ustanovení</w:t>
      </w:r>
    </w:p>
    <w:p w14:paraId="234645A9" w14:textId="05022154" w:rsidR="00AB7F83" w:rsidRDefault="00B4033C" w:rsidP="000F7815">
      <w:pPr>
        <w:spacing w:after="0"/>
        <w:jc w:val="both"/>
      </w:pPr>
      <w:r>
        <w:t>SČMBD</w:t>
      </w:r>
      <w:r w:rsidR="000F7815">
        <w:t xml:space="preserve"> zřídil p</w:t>
      </w:r>
      <w:r w:rsidR="00AB7F83">
        <w:t xml:space="preserve">ro elektronické nahlížení do Centrální evidence exekucí (dále </w:t>
      </w:r>
      <w:proofErr w:type="spellStart"/>
      <w:r w:rsidR="00AB7F83">
        <w:t>jn</w:t>
      </w:r>
      <w:proofErr w:type="spellEnd"/>
      <w:r w:rsidR="00AB7F83">
        <w:t xml:space="preserve"> „</w:t>
      </w:r>
      <w:r w:rsidR="00AB7F83" w:rsidRPr="00AB7F83">
        <w:rPr>
          <w:u w:val="single"/>
        </w:rPr>
        <w:t>CEE</w:t>
      </w:r>
      <w:r w:rsidR="00AB7F83">
        <w:t>“)</w:t>
      </w:r>
      <w:r w:rsidR="00FE7E08" w:rsidRPr="00CA3C12">
        <w:t xml:space="preserve"> </w:t>
      </w:r>
      <w:r w:rsidR="00AB7F83">
        <w:t xml:space="preserve">vedené, provozované a spravované </w:t>
      </w:r>
      <w:r w:rsidR="00FE7E08" w:rsidRPr="00CA3C12">
        <w:t>Exekutorskou komorou České republiky</w:t>
      </w:r>
      <w:r w:rsidR="00024E94" w:rsidRPr="00CA3C12">
        <w:t xml:space="preserve"> </w:t>
      </w:r>
      <w:r w:rsidR="00AB7F83">
        <w:t>(dále jen „</w:t>
      </w:r>
      <w:r w:rsidR="00AB7F83" w:rsidRPr="00AB7F83">
        <w:rPr>
          <w:u w:val="single"/>
        </w:rPr>
        <w:t>EKČR</w:t>
      </w:r>
      <w:r w:rsidR="00AB7F83">
        <w:t xml:space="preserve">“) </w:t>
      </w:r>
      <w:r w:rsidR="0063767B">
        <w:t xml:space="preserve">tzv. </w:t>
      </w:r>
      <w:proofErr w:type="spellStart"/>
      <w:r w:rsidR="0063767B">
        <w:t>M</w:t>
      </w:r>
      <w:r w:rsidR="000F7815">
        <w:t>ultiúčet</w:t>
      </w:r>
      <w:proofErr w:type="spellEnd"/>
      <w:r w:rsidR="000F7815">
        <w:t xml:space="preserve">, který umožňuje nahlížet do CEE a získávat výpisy z této databáze členům </w:t>
      </w:r>
      <w:r>
        <w:t>SČMBD</w:t>
      </w:r>
      <w:r w:rsidR="000F7815">
        <w:t xml:space="preserve"> (dále jen „</w:t>
      </w:r>
      <w:proofErr w:type="spellStart"/>
      <w:r w:rsidR="000F7815" w:rsidRPr="000F7815">
        <w:rPr>
          <w:u w:val="single"/>
        </w:rPr>
        <w:t>Multiúčet</w:t>
      </w:r>
      <w:proofErr w:type="spellEnd"/>
      <w:r w:rsidR="000F7815">
        <w:t xml:space="preserve">“). Výhodou multiplikačního nahlížení do CEE ze strany členů </w:t>
      </w:r>
      <w:r>
        <w:t>SČMBD</w:t>
      </w:r>
      <w:r w:rsidR="000F7815">
        <w:t xml:space="preserve"> přes tento jeden účet je snížení </w:t>
      </w:r>
      <w:r>
        <w:t>cenového tarifu</w:t>
      </w:r>
      <w:r w:rsidR="000F7815">
        <w:t xml:space="preserve"> </w:t>
      </w:r>
      <w:r>
        <w:t xml:space="preserve">pro odměny EKČR </w:t>
      </w:r>
      <w:r w:rsidR="000F7815">
        <w:t xml:space="preserve">za každý náhled v závislosti na konečném </w:t>
      </w:r>
      <w:r>
        <w:t xml:space="preserve">celkovém </w:t>
      </w:r>
      <w:r w:rsidR="000F7815">
        <w:t>počtu náhledů</w:t>
      </w:r>
      <w:r>
        <w:t xml:space="preserve"> </w:t>
      </w:r>
      <w:r w:rsidR="000F7815">
        <w:t xml:space="preserve">za období </w:t>
      </w:r>
      <w:r w:rsidR="00E224C1">
        <w:t xml:space="preserve">daného kalendářního roku. </w:t>
      </w:r>
      <w:r w:rsidR="000F7815">
        <w:t xml:space="preserve"> </w:t>
      </w:r>
    </w:p>
    <w:p w14:paraId="59EB2967" w14:textId="77777777" w:rsidR="00AB7F83" w:rsidRDefault="00AB7F83" w:rsidP="00CA3C12">
      <w:pPr>
        <w:spacing w:after="0"/>
        <w:jc w:val="both"/>
      </w:pPr>
    </w:p>
    <w:p w14:paraId="2DA0396C" w14:textId="77777777" w:rsidR="000F7815" w:rsidRPr="00CA3C12" w:rsidRDefault="000F7815" w:rsidP="0063767B">
      <w:pPr>
        <w:spacing w:after="0" w:line="240" w:lineRule="auto"/>
        <w:rPr>
          <w:b/>
        </w:rPr>
      </w:pPr>
      <w:r>
        <w:rPr>
          <w:b/>
        </w:rPr>
        <w:t>II.</w:t>
      </w:r>
      <w:r>
        <w:rPr>
          <w:b/>
        </w:rPr>
        <w:tab/>
        <w:t>Předmět smlouvy</w:t>
      </w:r>
    </w:p>
    <w:p w14:paraId="76C7B860" w14:textId="6E59C33A" w:rsidR="000F7815" w:rsidRDefault="00781AAA" w:rsidP="0063767B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SČMBD</w:t>
      </w:r>
      <w:r w:rsidR="000F7815">
        <w:t xml:space="preserve"> uzavřením této smlouvy poskytuje Členovi </w:t>
      </w:r>
      <w:r w:rsidRPr="00E224C1">
        <w:t>uživatelské oprávnění</w:t>
      </w:r>
      <w:r>
        <w:t xml:space="preserve"> pro</w:t>
      </w:r>
      <w:r w:rsidR="000F7815">
        <w:t xml:space="preserve"> </w:t>
      </w:r>
      <w:r>
        <w:t>nahlížení</w:t>
      </w:r>
      <w:r w:rsidR="00E01FE4">
        <w:t xml:space="preserve"> </w:t>
      </w:r>
      <w:proofErr w:type="gramStart"/>
      <w:r w:rsidR="00E01FE4">
        <w:t>do  CEE</w:t>
      </w:r>
      <w:proofErr w:type="gramEnd"/>
      <w:r w:rsidR="00E01FE4">
        <w:t xml:space="preserve"> a </w:t>
      </w:r>
      <w:r>
        <w:t>získávání</w:t>
      </w:r>
      <w:r w:rsidR="00E01FE4">
        <w:t xml:space="preserve"> </w:t>
      </w:r>
      <w:r>
        <w:t xml:space="preserve">výpisů </w:t>
      </w:r>
      <w:r w:rsidR="00E01FE4">
        <w:t xml:space="preserve">z této databáze </w:t>
      </w:r>
      <w:r w:rsidR="000F7815">
        <w:t xml:space="preserve">prostřednictvím </w:t>
      </w:r>
      <w:proofErr w:type="spellStart"/>
      <w:r w:rsidR="000F7815">
        <w:t>Multiúčtu</w:t>
      </w:r>
      <w:proofErr w:type="spellEnd"/>
      <w:r w:rsidR="000F7815">
        <w:t xml:space="preserve"> </w:t>
      </w:r>
      <w:r>
        <w:t>na</w:t>
      </w:r>
      <w:r w:rsidR="000F7815">
        <w:t xml:space="preserve"> webové</w:t>
      </w:r>
      <w:r>
        <w:t>m</w:t>
      </w:r>
      <w:r w:rsidR="000F7815">
        <w:t xml:space="preserve"> rozhraní </w:t>
      </w:r>
      <w:hyperlink r:id="rId5" w:history="1">
        <w:r w:rsidR="0063767B" w:rsidRPr="00FE637B">
          <w:rPr>
            <w:rStyle w:val="Hypertextovodkaz"/>
          </w:rPr>
          <w:t>www.ceecr.cz</w:t>
        </w:r>
      </w:hyperlink>
      <w:r w:rsidR="000F7815">
        <w:t>.</w:t>
      </w:r>
    </w:p>
    <w:p w14:paraId="04A380C9" w14:textId="77777777" w:rsidR="0063767B" w:rsidRDefault="0063767B" w:rsidP="0063767B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Pro účel registrace Člena v systému CEE sděluje Člen následující kontaktní údaje, které budou zaregistrovány v systému: </w:t>
      </w:r>
    </w:p>
    <w:p w14:paraId="10EA4586" w14:textId="51D00DE0" w:rsidR="0063767B" w:rsidRDefault="0063767B" w:rsidP="0063767B">
      <w:pPr>
        <w:pStyle w:val="Odstavecseseznamem"/>
        <w:numPr>
          <w:ilvl w:val="0"/>
          <w:numId w:val="16"/>
        </w:numPr>
        <w:tabs>
          <w:tab w:val="left" w:pos="1134"/>
        </w:tabs>
        <w:spacing w:after="0" w:line="240" w:lineRule="auto"/>
        <w:ind w:left="426" w:firstLine="425"/>
        <w:jc w:val="both"/>
      </w:pPr>
      <w:r>
        <w:t xml:space="preserve">E-mail Člena: ……………………………………………………………………………. </w:t>
      </w:r>
    </w:p>
    <w:p w14:paraId="2E5002F2" w14:textId="1DA1B681" w:rsidR="0063767B" w:rsidRDefault="0063767B" w:rsidP="0063767B">
      <w:pPr>
        <w:pStyle w:val="Odstavecseseznamem"/>
        <w:tabs>
          <w:tab w:val="left" w:pos="1134"/>
        </w:tabs>
        <w:spacing w:after="0" w:line="240" w:lineRule="auto"/>
        <w:ind w:left="851" w:firstLine="283"/>
        <w:jc w:val="both"/>
      </w:pPr>
      <w:r>
        <w:t xml:space="preserve">(tento údaj je neměnný – i v případě změny oprávněné osoby) </w:t>
      </w:r>
    </w:p>
    <w:p w14:paraId="03F0893D" w14:textId="19FBC78B" w:rsidR="0063767B" w:rsidRDefault="0063767B" w:rsidP="0063767B">
      <w:pPr>
        <w:pStyle w:val="Odstavecseseznamem"/>
        <w:numPr>
          <w:ilvl w:val="0"/>
          <w:numId w:val="16"/>
        </w:numPr>
        <w:spacing w:after="0" w:line="240" w:lineRule="auto"/>
        <w:ind w:left="1134" w:hanging="283"/>
        <w:jc w:val="both"/>
      </w:pPr>
      <w:r>
        <w:t xml:space="preserve">Jméno osoby oprávněné k nahlížení do CEE a získávání výpisů z této databáze prostřednictvím </w:t>
      </w:r>
      <w:proofErr w:type="spellStart"/>
      <w:r>
        <w:t>Multiúčtu</w:t>
      </w:r>
      <w:proofErr w:type="spellEnd"/>
      <w:r>
        <w:t>: ……………………………………………………….</w:t>
      </w:r>
    </w:p>
    <w:p w14:paraId="5DC5AFA7" w14:textId="77777777" w:rsidR="0063767B" w:rsidRDefault="0063767B" w:rsidP="0063767B">
      <w:pPr>
        <w:spacing w:after="0" w:line="240" w:lineRule="auto"/>
        <w:ind w:left="993"/>
        <w:jc w:val="both"/>
      </w:pPr>
    </w:p>
    <w:p w14:paraId="66F93A67" w14:textId="77777777" w:rsidR="000F7815" w:rsidRDefault="000F7815" w:rsidP="000F7815">
      <w:pPr>
        <w:pStyle w:val="Odstavecseseznamem"/>
        <w:spacing w:after="0"/>
        <w:ind w:left="567"/>
        <w:jc w:val="both"/>
      </w:pPr>
    </w:p>
    <w:p w14:paraId="02426141" w14:textId="77777777" w:rsidR="00B4033C" w:rsidRPr="00CA3C12" w:rsidRDefault="00B4033C" w:rsidP="00B4033C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>Platby</w:t>
      </w:r>
    </w:p>
    <w:p w14:paraId="4799BA4D" w14:textId="77777777" w:rsidR="00B4033C" w:rsidRDefault="00B4033C" w:rsidP="00B4033C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>
        <w:t>O</w:t>
      </w:r>
      <w:r w:rsidR="00E01FE4">
        <w:t xml:space="preserve">dměna EKČR za každé poskytnutí elektronického údaje z CEE se řídí vyhláškou Ministerstva spravedlnosti ČR č. 329/2008 Sb. a ke dni uzavření této smlouvy činí při uvedeném počtu dotazů přes </w:t>
      </w:r>
      <w:proofErr w:type="spellStart"/>
      <w:r w:rsidR="00E01FE4">
        <w:t>Multiúčet</w:t>
      </w:r>
      <w:proofErr w:type="spellEnd"/>
      <w:r w:rsidR="00E01FE4">
        <w:t xml:space="preserve"> za jeden kalendářní rok:</w:t>
      </w:r>
    </w:p>
    <w:p w14:paraId="6F8D04F2" w14:textId="77777777" w:rsidR="00E01FE4" w:rsidRPr="00E01FE4" w:rsidRDefault="00E01FE4" w:rsidP="00E01FE4">
      <w:pPr>
        <w:pStyle w:val="Odstavecseseznamem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E01FE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01FE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01FE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E01FE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E01FE4" w:rsidRPr="00E01FE4" w14:paraId="5713ADED" w14:textId="77777777" w:rsidTr="00E01FE4">
        <w:tc>
          <w:tcPr>
            <w:tcW w:w="3119" w:type="dxa"/>
          </w:tcPr>
          <w:p w14:paraId="1003BB1E" w14:textId="77777777" w:rsidR="00E01FE4" w:rsidRPr="00E01FE4" w:rsidRDefault="00E01FE4" w:rsidP="00E01FE4">
            <w:pPr>
              <w:rPr>
                <w:b/>
              </w:rPr>
            </w:pPr>
            <w:r w:rsidRPr="00E01FE4">
              <w:rPr>
                <w:b/>
              </w:rPr>
              <w:t xml:space="preserve">počet dotazů </w:t>
            </w:r>
          </w:p>
        </w:tc>
        <w:tc>
          <w:tcPr>
            <w:tcW w:w="2977" w:type="dxa"/>
          </w:tcPr>
          <w:p w14:paraId="7A2E2378" w14:textId="77777777" w:rsidR="00E01FE4" w:rsidRPr="00E01FE4" w:rsidRDefault="00E01FE4" w:rsidP="00E01FE4">
            <w:pPr>
              <w:rPr>
                <w:b/>
              </w:rPr>
            </w:pPr>
            <w:r w:rsidRPr="00E01FE4">
              <w:rPr>
                <w:b/>
              </w:rPr>
              <w:t>cena za 1 dotaz včetně DPH</w:t>
            </w:r>
          </w:p>
        </w:tc>
      </w:tr>
      <w:tr w:rsidR="00E01FE4" w:rsidRPr="00E01FE4" w14:paraId="618F902F" w14:textId="77777777" w:rsidTr="00E01FE4">
        <w:tc>
          <w:tcPr>
            <w:tcW w:w="3119" w:type="dxa"/>
          </w:tcPr>
          <w:p w14:paraId="29043657" w14:textId="77777777" w:rsidR="00E01FE4" w:rsidRPr="00E01FE4" w:rsidRDefault="00E01FE4" w:rsidP="00E01FE4">
            <w:r w:rsidRPr="00E01FE4">
              <w:t>1 -1.000</w:t>
            </w:r>
          </w:p>
        </w:tc>
        <w:tc>
          <w:tcPr>
            <w:tcW w:w="2977" w:type="dxa"/>
          </w:tcPr>
          <w:p w14:paraId="21A567E5" w14:textId="77777777" w:rsidR="00E01FE4" w:rsidRPr="00E01FE4" w:rsidRDefault="00E01FE4" w:rsidP="00E01FE4">
            <w:r w:rsidRPr="00E01FE4">
              <w:t>60,-</w:t>
            </w:r>
          </w:p>
        </w:tc>
      </w:tr>
      <w:tr w:rsidR="00E01FE4" w:rsidRPr="00E01FE4" w14:paraId="7288F9F0" w14:textId="77777777" w:rsidTr="00E01FE4">
        <w:tc>
          <w:tcPr>
            <w:tcW w:w="3119" w:type="dxa"/>
          </w:tcPr>
          <w:p w14:paraId="5B9B4CAA" w14:textId="77777777" w:rsidR="00E01FE4" w:rsidRPr="00E01FE4" w:rsidRDefault="00E01FE4" w:rsidP="00E01FE4">
            <w:r w:rsidRPr="00E01FE4">
              <w:t>1.001 – 10.000</w:t>
            </w:r>
          </w:p>
        </w:tc>
        <w:tc>
          <w:tcPr>
            <w:tcW w:w="2977" w:type="dxa"/>
          </w:tcPr>
          <w:p w14:paraId="6FD8FDAE" w14:textId="77777777" w:rsidR="00E01FE4" w:rsidRPr="00E01FE4" w:rsidRDefault="00E01FE4" w:rsidP="00E01FE4">
            <w:r w:rsidRPr="00E01FE4">
              <w:t>30,-</w:t>
            </w:r>
          </w:p>
        </w:tc>
      </w:tr>
      <w:tr w:rsidR="00E01FE4" w:rsidRPr="00E01FE4" w14:paraId="0B2456A2" w14:textId="77777777" w:rsidTr="00E01FE4">
        <w:tc>
          <w:tcPr>
            <w:tcW w:w="3119" w:type="dxa"/>
          </w:tcPr>
          <w:p w14:paraId="0BE9649A" w14:textId="77777777" w:rsidR="00E01FE4" w:rsidRPr="00E01FE4" w:rsidRDefault="00E01FE4" w:rsidP="00E01FE4">
            <w:r w:rsidRPr="00E01FE4">
              <w:t>10.001 – 1.000.000</w:t>
            </w:r>
          </w:p>
        </w:tc>
        <w:tc>
          <w:tcPr>
            <w:tcW w:w="2977" w:type="dxa"/>
          </w:tcPr>
          <w:p w14:paraId="13C51787" w14:textId="77777777" w:rsidR="00E01FE4" w:rsidRPr="00E01FE4" w:rsidRDefault="00E01FE4" w:rsidP="00E01FE4">
            <w:r w:rsidRPr="00E01FE4">
              <w:t>15</w:t>
            </w:r>
          </w:p>
        </w:tc>
      </w:tr>
      <w:tr w:rsidR="00E01FE4" w:rsidRPr="00E01FE4" w14:paraId="7D1C66AE" w14:textId="77777777" w:rsidTr="00E01FE4">
        <w:tc>
          <w:tcPr>
            <w:tcW w:w="3119" w:type="dxa"/>
          </w:tcPr>
          <w:p w14:paraId="0C1C4E5C" w14:textId="77777777" w:rsidR="00E01FE4" w:rsidRPr="00E01FE4" w:rsidRDefault="00E01FE4" w:rsidP="00E01FE4">
            <w:r w:rsidRPr="00E01FE4">
              <w:t>1.000.001 a více</w:t>
            </w:r>
          </w:p>
        </w:tc>
        <w:tc>
          <w:tcPr>
            <w:tcW w:w="2977" w:type="dxa"/>
          </w:tcPr>
          <w:p w14:paraId="34F6DA2B" w14:textId="77777777" w:rsidR="00E01FE4" w:rsidRPr="00E01FE4" w:rsidRDefault="00E01FE4" w:rsidP="00E01FE4">
            <w:r w:rsidRPr="00E01FE4">
              <w:t>6,-</w:t>
            </w:r>
          </w:p>
        </w:tc>
      </w:tr>
    </w:tbl>
    <w:p w14:paraId="459C10DB" w14:textId="77777777" w:rsidR="00E01FE4" w:rsidRDefault="00E01FE4" w:rsidP="00E01FE4">
      <w:pPr>
        <w:pStyle w:val="Odstavecseseznamem"/>
        <w:spacing w:after="0"/>
        <w:ind w:left="567"/>
        <w:jc w:val="both"/>
      </w:pPr>
    </w:p>
    <w:p w14:paraId="0F3F6DEA" w14:textId="3E474351" w:rsidR="000F7815" w:rsidRPr="00E224C1" w:rsidRDefault="00B4033C" w:rsidP="00B4033C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>
        <w:t xml:space="preserve">Člen se zavazuje hradit </w:t>
      </w:r>
      <w:r w:rsidR="00E224C1">
        <w:t xml:space="preserve">dle evidovaného počtu jím provedených náhledů </w:t>
      </w:r>
      <w:r w:rsidR="00E01FE4">
        <w:t>odměnu</w:t>
      </w:r>
      <w:r>
        <w:t xml:space="preserve"> </w:t>
      </w:r>
      <w:r w:rsidR="00781AAA">
        <w:t xml:space="preserve">pro EKČR </w:t>
      </w:r>
      <w:r>
        <w:t xml:space="preserve">za nahlížení do CEE zálohově na účet SČMBD na základě faktury vystavené SČMBD </w:t>
      </w:r>
      <w:r w:rsidR="00E224C1">
        <w:t xml:space="preserve">(fakturace bude prováděna zpravidla čtvrtletně nebo </w:t>
      </w:r>
      <w:r w:rsidR="00131440">
        <w:t>vždy alespoň k</w:t>
      </w:r>
      <w:r w:rsidR="00E224C1">
        <w:t xml:space="preserve">e konci kalendářního roku). </w:t>
      </w:r>
      <w:r w:rsidR="00E01FE4">
        <w:t xml:space="preserve">Pro první kalendářní rok používání přístupu do CEE přes </w:t>
      </w:r>
      <w:proofErr w:type="spellStart"/>
      <w:r w:rsidR="00E01FE4">
        <w:t>Multiúčet</w:t>
      </w:r>
      <w:proofErr w:type="spellEnd"/>
      <w:r w:rsidR="00E01FE4">
        <w:t xml:space="preserve"> se Člen zavazuje hradit odměnu ve výši </w:t>
      </w:r>
      <w:r w:rsidR="00E01FE4" w:rsidRPr="00E224C1">
        <w:t>30,- Kč za 1 náhled.</w:t>
      </w:r>
    </w:p>
    <w:p w14:paraId="0F686102" w14:textId="77777777" w:rsidR="00B4033C" w:rsidRDefault="00B4033C" w:rsidP="00B4033C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>
        <w:lastRenderedPageBreak/>
        <w:t xml:space="preserve">Po skončení kalendářního roku bude </w:t>
      </w:r>
      <w:r w:rsidR="00E01FE4">
        <w:t xml:space="preserve">na základě skutečně dosaženého celkového počtu náhledů </w:t>
      </w:r>
      <w:r>
        <w:t xml:space="preserve">provedeno vyúčtování </w:t>
      </w:r>
      <w:r w:rsidR="00E01FE4">
        <w:t xml:space="preserve">a Členovi bude vrácen do </w:t>
      </w:r>
      <w:proofErr w:type="gramStart"/>
      <w:r w:rsidR="00E01FE4">
        <w:t>31.1. každého</w:t>
      </w:r>
      <w:proofErr w:type="gramEnd"/>
      <w:r w:rsidR="00E01FE4">
        <w:t xml:space="preserve"> následujícího kalendářního roku případný přeplatek nebo se Člen zavazuje uhradit ve stejné lhůtě případný nedoplatek. </w:t>
      </w:r>
    </w:p>
    <w:p w14:paraId="325E49A4" w14:textId="77777777" w:rsidR="00781AAA" w:rsidRDefault="00781AAA" w:rsidP="00B4033C">
      <w:pPr>
        <w:pStyle w:val="Odstavecseseznamem"/>
        <w:numPr>
          <w:ilvl w:val="0"/>
          <w:numId w:val="13"/>
        </w:numPr>
        <w:spacing w:after="0"/>
        <w:ind w:left="567" w:hanging="567"/>
        <w:jc w:val="both"/>
      </w:pPr>
      <w:r>
        <w:t xml:space="preserve">Služba poskytovaná ze strany SČMBD Členovi je bezplatná. </w:t>
      </w:r>
    </w:p>
    <w:p w14:paraId="1EF29DC4" w14:textId="77777777" w:rsidR="00496BA1" w:rsidRDefault="00496BA1" w:rsidP="00496BA1">
      <w:pPr>
        <w:pStyle w:val="Odstavecseseznamem"/>
        <w:spacing w:after="0"/>
        <w:ind w:left="567"/>
        <w:jc w:val="both"/>
      </w:pPr>
      <w:r>
        <w:t xml:space="preserve">V případě, že celkový počet dotazu překročí počty uvedené v následující tabulce, bude v rámci konečného vyúčtování do ceny jednotlivého dotazu započítána provize ve prospěch svazu a to ve výši dané tabulkou: </w:t>
      </w:r>
    </w:p>
    <w:p w14:paraId="469B6735" w14:textId="77777777" w:rsidR="00496BA1" w:rsidRDefault="00496BA1" w:rsidP="00496BA1">
      <w:pPr>
        <w:pStyle w:val="Odstavecseseznamem"/>
        <w:spacing w:after="0"/>
        <w:ind w:left="567"/>
        <w:jc w:val="both"/>
      </w:pP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843"/>
        <w:gridCol w:w="1530"/>
        <w:gridCol w:w="1701"/>
        <w:gridCol w:w="1984"/>
      </w:tblGrid>
      <w:tr w:rsidR="00496BA1" w:rsidRPr="00126A91" w14:paraId="0AE96926" w14:textId="77777777" w:rsidTr="00496BA1">
        <w:trPr>
          <w:trHeight w:hRule="exact" w:val="96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6E87B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 xml:space="preserve">Počet evidovaných dotazů v rámci </w:t>
            </w:r>
            <w:proofErr w:type="spellStart"/>
            <w:r w:rsidRPr="00126A91">
              <w:rPr>
                <w:rFonts w:ascii="Tahoma" w:hAnsi="Tahoma" w:cs="Tahoma"/>
              </w:rPr>
              <w:t>Multiúčtu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164FD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Cena za 1 dotaz včetně DPH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C217F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Provize svazu v Kč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DB89D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Provize svazu v Kč včetně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030B5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Celkem cena za dotaz včetně DPH</w:t>
            </w:r>
          </w:p>
        </w:tc>
      </w:tr>
      <w:tr w:rsidR="00496BA1" w:rsidRPr="00126A91" w14:paraId="7BE83708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37EAB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F31DF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92A59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A9F95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8C55D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60</w:t>
            </w:r>
          </w:p>
        </w:tc>
      </w:tr>
      <w:tr w:rsidR="00496BA1" w:rsidRPr="00126A91" w14:paraId="4B662FDF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41B3B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55A82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E1048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378F2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386C7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36</w:t>
            </w:r>
          </w:p>
        </w:tc>
      </w:tr>
      <w:tr w:rsidR="00496BA1" w:rsidRPr="00126A91" w14:paraId="74001E73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764F7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213D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CDBE7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D1658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EF740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33</w:t>
            </w:r>
          </w:p>
        </w:tc>
      </w:tr>
      <w:tr w:rsidR="00496BA1" w:rsidRPr="00126A91" w14:paraId="3B693E2A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D1791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DDDD4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40B25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C7177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9D911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29,42</w:t>
            </w:r>
          </w:p>
        </w:tc>
      </w:tr>
      <w:tr w:rsidR="00496BA1" w:rsidRPr="00126A91" w14:paraId="03889221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294B1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F366C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7AB33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F6E76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D81C8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26,42</w:t>
            </w:r>
          </w:p>
        </w:tc>
      </w:tr>
      <w:tr w:rsidR="00496BA1" w:rsidRPr="00126A91" w14:paraId="7BF81F3F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A9F82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5F574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61199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DE5BB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33E41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24,62</w:t>
            </w:r>
          </w:p>
        </w:tc>
      </w:tr>
      <w:tr w:rsidR="00496BA1" w:rsidRPr="00126A91" w14:paraId="25069544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3B9B5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3E7A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1B38D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1EAFB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3,025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09952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24,025</w:t>
            </w:r>
          </w:p>
        </w:tc>
      </w:tr>
      <w:tr w:rsidR="00496BA1" w:rsidRPr="00126A91" w14:paraId="08E376F0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90735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40.000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623E3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BBF09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CBAF9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3,025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DC24A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22,525</w:t>
            </w:r>
          </w:p>
        </w:tc>
      </w:tr>
      <w:tr w:rsidR="00496BA1" w:rsidRPr="00126A91" w14:paraId="1DDEA34E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97F4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0190D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18,6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DBE0C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0A049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1E6C3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22,23</w:t>
            </w:r>
          </w:p>
        </w:tc>
      </w:tr>
      <w:tr w:rsidR="00496BA1" w:rsidRPr="00126A91" w14:paraId="0B21D481" w14:textId="77777777" w:rsidTr="00496BA1">
        <w:trPr>
          <w:trHeight w:hRule="exact" w:val="284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BA05C" w14:textId="77777777" w:rsidR="00496BA1" w:rsidRPr="00126A91" w:rsidRDefault="00496BA1" w:rsidP="00D20E75">
            <w:pPr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3A5AB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16,8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74618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8FC2B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EC900" w14:textId="77777777" w:rsidR="00496BA1" w:rsidRPr="00126A91" w:rsidRDefault="00496BA1" w:rsidP="00D20E75">
            <w:pPr>
              <w:jc w:val="right"/>
              <w:rPr>
                <w:rFonts w:ascii="Tahoma" w:hAnsi="Tahoma" w:cs="Tahoma"/>
              </w:rPr>
            </w:pPr>
            <w:r w:rsidRPr="00126A91">
              <w:rPr>
                <w:rFonts w:ascii="Tahoma" w:hAnsi="Tahoma" w:cs="Tahoma"/>
              </w:rPr>
              <w:t>20,43</w:t>
            </w:r>
          </w:p>
        </w:tc>
      </w:tr>
    </w:tbl>
    <w:p w14:paraId="09337227" w14:textId="5C9B2305" w:rsidR="00496BA1" w:rsidRDefault="00496BA1" w:rsidP="00496BA1">
      <w:pPr>
        <w:pStyle w:val="Odstavecseseznamem"/>
        <w:spacing w:after="0"/>
        <w:ind w:left="567"/>
        <w:jc w:val="both"/>
      </w:pPr>
      <w:r>
        <w:t xml:space="preserve"> </w:t>
      </w:r>
    </w:p>
    <w:p w14:paraId="663BF018" w14:textId="77777777" w:rsidR="00B626E8" w:rsidRPr="00E01FE4" w:rsidRDefault="00E01FE4" w:rsidP="00E01FE4">
      <w:pPr>
        <w:spacing w:before="240" w:after="0"/>
        <w:rPr>
          <w:b/>
        </w:rPr>
      </w:pPr>
      <w:r w:rsidRPr="00E01FE4">
        <w:rPr>
          <w:b/>
        </w:rPr>
        <w:t>IV.</w:t>
      </w:r>
      <w:r w:rsidRPr="00E01FE4">
        <w:rPr>
          <w:b/>
        </w:rPr>
        <w:tab/>
      </w:r>
      <w:r>
        <w:rPr>
          <w:b/>
        </w:rPr>
        <w:t>Práva a povinnosti stran</w:t>
      </w:r>
    </w:p>
    <w:p w14:paraId="2476A88E" w14:textId="77777777" w:rsidR="00E01FE4" w:rsidRDefault="00E01FE4" w:rsidP="00E01FE4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>
        <w:t xml:space="preserve">SČMBD se zavazuje udržovat </w:t>
      </w:r>
      <w:proofErr w:type="spellStart"/>
      <w:r>
        <w:t>Multiúčet</w:t>
      </w:r>
      <w:proofErr w:type="spellEnd"/>
      <w:r>
        <w:t xml:space="preserve"> funkční a poskytovat Členovi potřebné informace a podporu pro využívání </w:t>
      </w:r>
      <w:proofErr w:type="spellStart"/>
      <w:r>
        <w:t>Multiúčtu</w:t>
      </w:r>
      <w:proofErr w:type="spellEnd"/>
      <w:r>
        <w:t xml:space="preserve">. </w:t>
      </w:r>
    </w:p>
    <w:p w14:paraId="772D0F46" w14:textId="77777777" w:rsidR="00E01FE4" w:rsidRDefault="00E01FE4" w:rsidP="00E01FE4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>
        <w:t xml:space="preserve">Člen se zavazuje </w:t>
      </w:r>
      <w:r w:rsidR="00781AAA">
        <w:t>zajistit</w:t>
      </w:r>
      <w:r>
        <w:t xml:space="preserve"> přístup k </w:t>
      </w:r>
      <w:proofErr w:type="spellStart"/>
      <w:r>
        <w:t>Multiúčtu</w:t>
      </w:r>
      <w:proofErr w:type="spellEnd"/>
      <w:r>
        <w:t xml:space="preserve"> </w:t>
      </w:r>
      <w:r w:rsidR="00781AAA">
        <w:t xml:space="preserve">prostřednictvím osob oprávněných lustrovat exekuce v rámci činnosti Člena a zabránit zneužití </w:t>
      </w:r>
      <w:proofErr w:type="spellStart"/>
      <w:r w:rsidR="00781AAA">
        <w:t>Multiúčtu</w:t>
      </w:r>
      <w:proofErr w:type="spellEnd"/>
      <w:r w:rsidR="00781AAA">
        <w:t xml:space="preserve"> ze strany jiných osob; za tím účelem je Člen povinen odpovídajícím způsobem chránit přístupové údaje k uživatelskému oprávnění k </w:t>
      </w:r>
      <w:proofErr w:type="spellStart"/>
      <w:r w:rsidR="00781AAA">
        <w:t>Multiúčtu</w:t>
      </w:r>
      <w:proofErr w:type="spellEnd"/>
      <w:r w:rsidR="00781AAA">
        <w:t>.</w:t>
      </w:r>
    </w:p>
    <w:p w14:paraId="16AFD968" w14:textId="77777777" w:rsidR="00781AAA" w:rsidRDefault="00781AAA" w:rsidP="00E01FE4">
      <w:pPr>
        <w:pStyle w:val="Odstavecseseznamem"/>
        <w:numPr>
          <w:ilvl w:val="0"/>
          <w:numId w:val="14"/>
        </w:numPr>
        <w:spacing w:after="0"/>
        <w:ind w:left="567" w:hanging="567"/>
        <w:jc w:val="both"/>
      </w:pPr>
      <w:r>
        <w:t>SČMBD neodpovídá za překročení oprávnění osob, kterým Člen poskytne k </w:t>
      </w:r>
      <w:proofErr w:type="spellStart"/>
      <w:r>
        <w:t>Multiúčtu</w:t>
      </w:r>
      <w:proofErr w:type="spellEnd"/>
      <w:r>
        <w:t xml:space="preserve"> přístup. </w:t>
      </w:r>
    </w:p>
    <w:p w14:paraId="733430B0" w14:textId="77777777" w:rsidR="002143EC" w:rsidRPr="00CA3C12" w:rsidRDefault="002143EC" w:rsidP="002143EC">
      <w:pPr>
        <w:spacing w:after="0"/>
        <w:jc w:val="both"/>
      </w:pPr>
    </w:p>
    <w:p w14:paraId="343CBBD6" w14:textId="77777777" w:rsidR="00781AAA" w:rsidRDefault="00781AAA" w:rsidP="00781AAA">
      <w:pPr>
        <w:spacing w:after="0" w:line="240" w:lineRule="auto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8F4A0F" w:rsidRPr="00CA3C12">
        <w:rPr>
          <w:b/>
        </w:rPr>
        <w:t>Ostatní ujednání</w:t>
      </w:r>
    </w:p>
    <w:p w14:paraId="18FEC9CD" w14:textId="77777777" w:rsidR="00666D20" w:rsidRDefault="00781AAA" w:rsidP="00666D20">
      <w:pPr>
        <w:tabs>
          <w:tab w:val="left" w:pos="567"/>
        </w:tabs>
        <w:spacing w:after="0" w:line="240" w:lineRule="auto"/>
        <w:ind w:left="560" w:hanging="560"/>
        <w:jc w:val="both"/>
        <w:rPr>
          <w:b/>
        </w:rPr>
      </w:pPr>
      <w:r>
        <w:t>1</w:t>
      </w:r>
      <w:r w:rsidR="009B04FF" w:rsidRPr="00CA3C12">
        <w:t xml:space="preserve">) </w:t>
      </w:r>
      <w:r>
        <w:tab/>
      </w:r>
      <w:r w:rsidR="009B04FF" w:rsidRPr="00CA3C12">
        <w:t>Tato smlouva se</w:t>
      </w:r>
      <w:r w:rsidR="009A3941" w:rsidRPr="00CA3C12">
        <w:t xml:space="preserve"> uzavírá na dobu neurčitou a je </w:t>
      </w:r>
      <w:r w:rsidR="009B04FF" w:rsidRPr="00CA3C12">
        <w:t>možno</w:t>
      </w:r>
      <w:r w:rsidR="009A3941" w:rsidRPr="00CA3C12">
        <w:t xml:space="preserve"> ji</w:t>
      </w:r>
      <w:r w:rsidR="009B04FF" w:rsidRPr="00CA3C12">
        <w:t xml:space="preserve"> kdykoliv </w:t>
      </w:r>
      <w:r>
        <w:t>vypovědět s měsíční výpovědní lhůtou</w:t>
      </w:r>
      <w:r w:rsidR="00072370" w:rsidRPr="00CA3C12">
        <w:t xml:space="preserve">. Výpovědní doba počíná </w:t>
      </w:r>
      <w:r w:rsidR="0060579E" w:rsidRPr="00CA3C12">
        <w:t>běžet od</w:t>
      </w:r>
      <w:r w:rsidR="00072370" w:rsidRPr="00CA3C12">
        <w:t xml:space="preserve"> písemného doručení výpovědi druhé smluvní straně.</w:t>
      </w:r>
      <w:r w:rsidR="009A3941" w:rsidRPr="00CA3C12">
        <w:t xml:space="preserve"> </w:t>
      </w:r>
    </w:p>
    <w:p w14:paraId="019074C6" w14:textId="77777777" w:rsidR="00124FC0" w:rsidRPr="00666D20" w:rsidRDefault="00666D20" w:rsidP="00666D20">
      <w:pPr>
        <w:tabs>
          <w:tab w:val="left" w:pos="567"/>
        </w:tabs>
        <w:spacing w:after="0" w:line="240" w:lineRule="auto"/>
        <w:ind w:left="560" w:hanging="560"/>
        <w:jc w:val="both"/>
      </w:pPr>
      <w:r w:rsidRPr="00666D20">
        <w:t>2)</w:t>
      </w:r>
      <w:r w:rsidRPr="00666D20">
        <w:tab/>
      </w:r>
      <w:r w:rsidR="00201A79" w:rsidRPr="00666D20">
        <w:t xml:space="preserve">Tato smlouva je vyhotovena ve 2 </w:t>
      </w:r>
      <w:r w:rsidR="0038283D" w:rsidRPr="00666D20">
        <w:t>stejnopisech s platností originálu</w:t>
      </w:r>
      <w:r w:rsidR="00201A79" w:rsidRPr="00666D20">
        <w:t xml:space="preserve">, z nichž jeden obdrží </w:t>
      </w:r>
      <w:r>
        <w:t>SČMBD</w:t>
      </w:r>
      <w:r w:rsidR="00201A79" w:rsidRPr="00666D20">
        <w:t xml:space="preserve"> a jeden </w:t>
      </w:r>
      <w:r>
        <w:t>Člen</w:t>
      </w:r>
      <w:r w:rsidR="00201A79" w:rsidRPr="00666D20">
        <w:t>. Veškeré změny této smlouvy je možno činit pouze vzestupně číslovaným</w:t>
      </w:r>
      <w:r w:rsidR="00BB4509" w:rsidRPr="00666D20">
        <w:t>i</w:t>
      </w:r>
      <w:r w:rsidR="00201A79" w:rsidRPr="00666D20">
        <w:t xml:space="preserve"> dodatk</w:t>
      </w:r>
      <w:r w:rsidR="00BB4509" w:rsidRPr="00666D20">
        <w:t>y</w:t>
      </w:r>
      <w:r w:rsidR="00201A79" w:rsidRPr="00666D20">
        <w:t xml:space="preserve"> podepsaným</w:t>
      </w:r>
      <w:r w:rsidR="00BB4509" w:rsidRPr="00666D20">
        <w:t>i</w:t>
      </w:r>
      <w:r w:rsidR="00201A79" w:rsidRPr="00666D20">
        <w:t xml:space="preserve"> oběma smluvními stranami.</w:t>
      </w:r>
      <w:r w:rsidR="0038283D" w:rsidRPr="00666D20">
        <w:t xml:space="preserve"> </w:t>
      </w:r>
      <w:r w:rsidR="00BB4509" w:rsidRPr="00666D20">
        <w:t xml:space="preserve"> </w:t>
      </w:r>
    </w:p>
    <w:p w14:paraId="1DDC855B" w14:textId="77777777" w:rsidR="00666D20" w:rsidRDefault="00666D20" w:rsidP="00BA57FB">
      <w:pPr>
        <w:spacing w:before="240" w:after="0"/>
      </w:pPr>
    </w:p>
    <w:p w14:paraId="2FF4BB18" w14:textId="77777777" w:rsidR="0060579E" w:rsidRDefault="0060579E" w:rsidP="00BA57FB">
      <w:pPr>
        <w:spacing w:before="240" w:after="0"/>
      </w:pPr>
      <w:r w:rsidRPr="00CA3C12">
        <w:t>V</w:t>
      </w:r>
      <w:r w:rsidR="009307BF">
        <w:t> Praze dne  ………………………..</w:t>
      </w:r>
      <w:r w:rsidRPr="00CA3C12">
        <w:t xml:space="preserve"> </w:t>
      </w:r>
      <w:r w:rsidR="009307BF">
        <w:t xml:space="preserve">                                       V …………………………………. </w:t>
      </w:r>
      <w:r w:rsidRPr="00CA3C12">
        <w:t>dne …………</w:t>
      </w:r>
      <w:r w:rsidR="009307BF">
        <w:t>….…</w:t>
      </w:r>
      <w:r w:rsidRPr="00CA3C12">
        <w:t>……</w:t>
      </w:r>
      <w:r w:rsidR="003B62DE" w:rsidRPr="00CA3C12">
        <w:t xml:space="preserve"> </w:t>
      </w:r>
    </w:p>
    <w:p w14:paraId="5ABA4E30" w14:textId="77777777" w:rsidR="00F65FC3" w:rsidRPr="00CA3C12" w:rsidRDefault="00F65FC3" w:rsidP="00BA57FB">
      <w:pPr>
        <w:spacing w:before="240" w:after="0"/>
      </w:pPr>
    </w:p>
    <w:p w14:paraId="38566E0D" w14:textId="77777777" w:rsidR="0060579E" w:rsidRDefault="0060579E" w:rsidP="009307BF">
      <w:pPr>
        <w:spacing w:after="0"/>
      </w:pPr>
      <w:r w:rsidRPr="00CA3C12">
        <w:t>………………………………………………</w:t>
      </w:r>
      <w:r w:rsidR="009307BF">
        <w:t>………………</w:t>
      </w:r>
      <w:r w:rsidRPr="00CA3C12">
        <w:t xml:space="preserve">  </w:t>
      </w:r>
      <w:r w:rsidR="009307BF">
        <w:t xml:space="preserve">                   </w:t>
      </w:r>
      <w:r w:rsidRPr="00CA3C12">
        <w:t>…………………………………………………</w:t>
      </w:r>
      <w:r w:rsidR="009307BF">
        <w:t>………………</w:t>
      </w:r>
    </w:p>
    <w:p w14:paraId="66C8CC60" w14:textId="77777777" w:rsidR="009307BF" w:rsidRDefault="009307BF" w:rsidP="009307BF">
      <w:pPr>
        <w:spacing w:after="0"/>
      </w:pPr>
      <w:r>
        <w:t>Svaz českých a moravských bytových družstev</w:t>
      </w:r>
    </w:p>
    <w:p w14:paraId="40556F0B" w14:textId="77777777" w:rsidR="009307BF" w:rsidRPr="009307BF" w:rsidRDefault="009307BF" w:rsidP="009307BF">
      <w:pPr>
        <w:spacing w:after="0"/>
      </w:pPr>
    </w:p>
    <w:sectPr w:rsidR="009307BF" w:rsidRPr="009307BF" w:rsidSect="0086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8D4"/>
    <w:multiLevelType w:val="hybridMultilevel"/>
    <w:tmpl w:val="0B0E9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32D"/>
    <w:multiLevelType w:val="hybridMultilevel"/>
    <w:tmpl w:val="A3EC0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01FD"/>
    <w:multiLevelType w:val="hybridMultilevel"/>
    <w:tmpl w:val="E7F67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6A7"/>
    <w:multiLevelType w:val="hybridMultilevel"/>
    <w:tmpl w:val="996AF31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25C11EB"/>
    <w:multiLevelType w:val="hybridMultilevel"/>
    <w:tmpl w:val="ED405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6D9B"/>
    <w:multiLevelType w:val="hybridMultilevel"/>
    <w:tmpl w:val="B3323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6226A"/>
    <w:multiLevelType w:val="hybridMultilevel"/>
    <w:tmpl w:val="2B78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14D65"/>
    <w:multiLevelType w:val="hybridMultilevel"/>
    <w:tmpl w:val="5E928A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23E"/>
    <w:multiLevelType w:val="hybridMultilevel"/>
    <w:tmpl w:val="647EA4C0"/>
    <w:lvl w:ilvl="0" w:tplc="ABAC7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072"/>
    <w:multiLevelType w:val="hybridMultilevel"/>
    <w:tmpl w:val="A6D6F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1ED9"/>
    <w:multiLevelType w:val="hybridMultilevel"/>
    <w:tmpl w:val="D87E16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30D03"/>
    <w:multiLevelType w:val="hybridMultilevel"/>
    <w:tmpl w:val="7292C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F731F"/>
    <w:multiLevelType w:val="hybridMultilevel"/>
    <w:tmpl w:val="D3EED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475D"/>
    <w:multiLevelType w:val="hybridMultilevel"/>
    <w:tmpl w:val="46B26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4A2D"/>
    <w:multiLevelType w:val="hybridMultilevel"/>
    <w:tmpl w:val="B808B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43A2"/>
    <w:multiLevelType w:val="hybridMultilevel"/>
    <w:tmpl w:val="A62A45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B"/>
    <w:rsid w:val="000122CA"/>
    <w:rsid w:val="00024E94"/>
    <w:rsid w:val="00032AEB"/>
    <w:rsid w:val="00064B58"/>
    <w:rsid w:val="00067A63"/>
    <w:rsid w:val="00072370"/>
    <w:rsid w:val="0007435B"/>
    <w:rsid w:val="000834D6"/>
    <w:rsid w:val="000E740C"/>
    <w:rsid w:val="000F7815"/>
    <w:rsid w:val="00115135"/>
    <w:rsid w:val="00124FC0"/>
    <w:rsid w:val="00131440"/>
    <w:rsid w:val="00165E4A"/>
    <w:rsid w:val="00175DC5"/>
    <w:rsid w:val="001B6AB5"/>
    <w:rsid w:val="001C532D"/>
    <w:rsid w:val="00201A79"/>
    <w:rsid w:val="00207ECD"/>
    <w:rsid w:val="002143EC"/>
    <w:rsid w:val="002C49F7"/>
    <w:rsid w:val="002D2208"/>
    <w:rsid w:val="002D280B"/>
    <w:rsid w:val="002D7E95"/>
    <w:rsid w:val="0034746D"/>
    <w:rsid w:val="003615F0"/>
    <w:rsid w:val="0038283D"/>
    <w:rsid w:val="003A56FD"/>
    <w:rsid w:val="003B62DE"/>
    <w:rsid w:val="003B7480"/>
    <w:rsid w:val="003C79A5"/>
    <w:rsid w:val="00423FA4"/>
    <w:rsid w:val="004359E3"/>
    <w:rsid w:val="0043686A"/>
    <w:rsid w:val="00490691"/>
    <w:rsid w:val="00496BA1"/>
    <w:rsid w:val="004B0693"/>
    <w:rsid w:val="004E5B83"/>
    <w:rsid w:val="00514FA6"/>
    <w:rsid w:val="005266E4"/>
    <w:rsid w:val="00566DF5"/>
    <w:rsid w:val="00587FC0"/>
    <w:rsid w:val="005954D6"/>
    <w:rsid w:val="005B5A63"/>
    <w:rsid w:val="005D4C6B"/>
    <w:rsid w:val="005E3433"/>
    <w:rsid w:val="005E5B22"/>
    <w:rsid w:val="0060579E"/>
    <w:rsid w:val="00624765"/>
    <w:rsid w:val="006348ED"/>
    <w:rsid w:val="0063767B"/>
    <w:rsid w:val="0065299E"/>
    <w:rsid w:val="00656AED"/>
    <w:rsid w:val="00666D20"/>
    <w:rsid w:val="00683F92"/>
    <w:rsid w:val="0068763A"/>
    <w:rsid w:val="006E3454"/>
    <w:rsid w:val="00781AAA"/>
    <w:rsid w:val="007826AC"/>
    <w:rsid w:val="00784BF9"/>
    <w:rsid w:val="007F23A9"/>
    <w:rsid w:val="00801018"/>
    <w:rsid w:val="008679D6"/>
    <w:rsid w:val="00870124"/>
    <w:rsid w:val="00892C5C"/>
    <w:rsid w:val="008D1141"/>
    <w:rsid w:val="008F4A0F"/>
    <w:rsid w:val="00912B62"/>
    <w:rsid w:val="009306BF"/>
    <w:rsid w:val="009307BF"/>
    <w:rsid w:val="00984221"/>
    <w:rsid w:val="009A3941"/>
    <w:rsid w:val="009A65A7"/>
    <w:rsid w:val="009B04FF"/>
    <w:rsid w:val="009D551E"/>
    <w:rsid w:val="009E28FF"/>
    <w:rsid w:val="00A03372"/>
    <w:rsid w:val="00A14BC2"/>
    <w:rsid w:val="00A20F4D"/>
    <w:rsid w:val="00A676B7"/>
    <w:rsid w:val="00A90203"/>
    <w:rsid w:val="00A94A7F"/>
    <w:rsid w:val="00AB7F83"/>
    <w:rsid w:val="00AD5FB5"/>
    <w:rsid w:val="00B13111"/>
    <w:rsid w:val="00B2475D"/>
    <w:rsid w:val="00B4033C"/>
    <w:rsid w:val="00B626E8"/>
    <w:rsid w:val="00BA57FB"/>
    <w:rsid w:val="00BA66BE"/>
    <w:rsid w:val="00BB2BC3"/>
    <w:rsid w:val="00BB4509"/>
    <w:rsid w:val="00BE7DBD"/>
    <w:rsid w:val="00BF1C09"/>
    <w:rsid w:val="00BF74D0"/>
    <w:rsid w:val="00C119F1"/>
    <w:rsid w:val="00C218D7"/>
    <w:rsid w:val="00C21C28"/>
    <w:rsid w:val="00C2730A"/>
    <w:rsid w:val="00C361CD"/>
    <w:rsid w:val="00C46420"/>
    <w:rsid w:val="00C5661F"/>
    <w:rsid w:val="00C71600"/>
    <w:rsid w:val="00CA2BE8"/>
    <w:rsid w:val="00CA3C12"/>
    <w:rsid w:val="00CD0A73"/>
    <w:rsid w:val="00CD3D86"/>
    <w:rsid w:val="00D06156"/>
    <w:rsid w:val="00D32579"/>
    <w:rsid w:val="00D61ADC"/>
    <w:rsid w:val="00D809FA"/>
    <w:rsid w:val="00D93E75"/>
    <w:rsid w:val="00DC7983"/>
    <w:rsid w:val="00DE259D"/>
    <w:rsid w:val="00E01FE4"/>
    <w:rsid w:val="00E224C1"/>
    <w:rsid w:val="00E36EA8"/>
    <w:rsid w:val="00E47590"/>
    <w:rsid w:val="00E606E0"/>
    <w:rsid w:val="00E7321C"/>
    <w:rsid w:val="00EA7786"/>
    <w:rsid w:val="00ED0735"/>
    <w:rsid w:val="00EE7F02"/>
    <w:rsid w:val="00F0675E"/>
    <w:rsid w:val="00F30E5D"/>
    <w:rsid w:val="00F313C7"/>
    <w:rsid w:val="00F35085"/>
    <w:rsid w:val="00F65FC3"/>
    <w:rsid w:val="00FA2703"/>
    <w:rsid w:val="00FE4D95"/>
    <w:rsid w:val="00FE775E"/>
    <w:rsid w:val="00FE7905"/>
    <w:rsid w:val="00FE7E08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692F9"/>
  <w15:docId w15:val="{62A3FE82-1A00-4132-B64A-909646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21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566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61F"/>
  </w:style>
  <w:style w:type="paragraph" w:styleId="Textbubliny">
    <w:name w:val="Balloon Text"/>
    <w:basedOn w:val="Normln"/>
    <w:link w:val="TextbublinyChar"/>
    <w:uiPriority w:val="99"/>
    <w:semiHidden/>
    <w:unhideWhenUsed/>
    <w:rsid w:val="002C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F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14BC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E7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4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40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E0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e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Zděnek</dc:creator>
  <cp:lastModifiedBy>Martin Hanák</cp:lastModifiedBy>
  <cp:revision>2</cp:revision>
  <cp:lastPrinted>2017-03-30T09:57:00Z</cp:lastPrinted>
  <dcterms:created xsi:type="dcterms:W3CDTF">2017-03-30T10:56:00Z</dcterms:created>
  <dcterms:modified xsi:type="dcterms:W3CDTF">2017-03-30T10:56:00Z</dcterms:modified>
</cp:coreProperties>
</file>